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Arial" w:cs="Arial" w:eastAsia="Arial" w:hAnsi="Arial"/>
          <w:b w:val="1"/>
        </w:rPr>
      </w:pPr>
      <w:r w:rsidDel="00000000" w:rsidR="00000000" w:rsidRPr="00000000">
        <w:rPr>
          <w:rFonts w:ascii="Arial" w:cs="Arial" w:eastAsia="Arial" w:hAnsi="Arial"/>
          <w:b w:val="1"/>
          <w:rtl w:val="0"/>
        </w:rPr>
        <w:t xml:space="preserve">Good Governance Program </w:t>
      </w:r>
    </w:p>
    <w:p w:rsidR="00000000" w:rsidDel="00000000" w:rsidP="00000000" w:rsidRDefault="00000000" w:rsidRPr="00000000" w14:paraId="00000002">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The Good Governance Program focuses on encouraging and leading youth policy making processes; improvement and monitoring of existing ones; advocacy  and cooperation with all relevant stakeholders (national, regional, and international) in order to improve the position and well-being of young people. The program aims to affirm young people as active rights holders. Hence, key areas of work of the good governance program are: youth participation; youth policies; research and advocacy related to youth participation and youth policies; youth standard policies; employment policies; and cooperation with national and international institutions/organizations.</w:t>
      </w:r>
    </w:p>
    <w:p w:rsidR="00000000" w:rsidDel="00000000" w:rsidP="00000000" w:rsidRDefault="00000000" w:rsidRPr="00000000" w14:paraId="00000003">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Taking into account the action areas of the good governance program, the key achievements of NYCM  in this field are: the participation in the creation and advocacy for the adoption of the Law on Youth Participation and Youth Policies, participation in the programming and implementation of the Youth Guarantee, successful advocacy for change of the Commercial  Law and the introducing of a new type of company that can be founded with a deposit of 1 euro in order to stimulate youth entrepreneurship, as well as other initiatives. At the moment, NYCM is actively advocating for the implementation of the Law on Youth Participation and Youth Policies, advancing the implementation of the Youth Guarantee, a legal amendment to Law on employment and insurance in case of unemployment, which would enable alternative methods of registration, i.e. confirmation of the status of an active job seeker (in contrast to the previous provision that requires physical verification every 30 days), participation of young people in decision-making and policy-making processes, with a focus on important strategic documents for young people, as well as greater political participation of young people. In 2021, the NYCM prepared a Monitoring Report on the implementation of the Law on Youth Participation and Youth Policies, and made an assessment of how many of the mechanisms for youth participation and youth services have been implemented within 2 years of the adoption of the Law.</w:t>
      </w:r>
    </w:p>
    <w:p w:rsidR="00000000" w:rsidDel="00000000" w:rsidP="00000000" w:rsidRDefault="00000000" w:rsidRPr="00000000" w14:paraId="00000004">
      <w:pPr>
        <w:spacing w:after="240" w:before="240" w:line="276" w:lineRule="auto"/>
        <w:jc w:val="both"/>
        <w:rPr>
          <w:rFonts w:ascii="Arial" w:cs="Arial" w:eastAsia="Arial" w:hAnsi="Arial"/>
        </w:rPr>
      </w:pPr>
      <w:r w:rsidDel="00000000" w:rsidR="00000000" w:rsidRPr="00000000">
        <w:rPr>
          <w:rFonts w:ascii="Arial" w:cs="Arial" w:eastAsia="Arial" w:hAnsi="Arial"/>
          <w:rtl w:val="0"/>
        </w:rPr>
        <w:t xml:space="preserve">In addition, in order to strengthen youth participation and promote inclusive and participatory models for  inclusion of all young people in the dialogue processes with institutions and decision-making at national and local level, several meetings  with representatives of institutions were organized in 2021 (Employment Agency of the Republic of North Macedonia,                                                                                                                                                                                                                                                                                                                                                                                                                                                                                                                                                                                                                                                                                                                                                                                                                                                                                                                                                                                                                                                                                                                                                                                                                                                 Ministry of Labor &amp; Social Policy , Agency for Youth and Sport, Government of Republic of North Macedonia and Club on Youth Affairs and Policies of the Assembly of North Macedonia), and a memorandum of cooperation between NYCM and AYS was signed.</w:t>
      </w:r>
    </w:p>
    <w:p w:rsidR="00000000" w:rsidDel="00000000" w:rsidP="00000000" w:rsidRDefault="00000000" w:rsidRPr="00000000" w14:paraId="00000005">
      <w:pPr>
        <w:spacing w:after="240" w:before="240" w:line="276" w:lineRule="auto"/>
        <w:jc w:val="both"/>
        <w:rPr>
          <w:rFonts w:ascii="Open Sans" w:cs="Open Sans" w:eastAsia="Open Sans" w:hAnsi="Open Sans"/>
          <w:b w:val="1"/>
        </w:rPr>
      </w:pPr>
      <w:r w:rsidDel="00000000" w:rsidR="00000000" w:rsidRPr="00000000">
        <w:rPr>
          <w:rFonts w:ascii="Arial" w:cs="Arial" w:eastAsia="Arial" w:hAnsi="Arial"/>
          <w:rtl w:val="0"/>
        </w:rPr>
        <w:t xml:space="preserve">At the European level, NYCM is a full member of the European Youth Forum, the European family of youth organizations, where it actively influences youth processes and policies at the EU level. At the regional level, NYCM has 2 signed memorandum of cooperation with National Youth Councils from the Western Balkans.</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-909637</wp:posOffset>
          </wp:positionH>
          <wp:positionV relativeFrom="paragraph">
            <wp:posOffset>257175</wp:posOffset>
          </wp:positionV>
          <wp:extent cx="7762875" cy="391462"/>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62875" cy="39146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Str. Veljko Vlahovikj 7/1-1, 1000 Skopje</w:t>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-228532</wp:posOffset>
          </wp:positionV>
          <wp:extent cx="2516050" cy="1257315"/>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16050" cy="12573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5736590</wp:posOffset>
          </wp:positionH>
          <wp:positionV relativeFrom="paragraph">
            <wp:posOffset>9525</wp:posOffset>
          </wp:positionV>
          <wp:extent cx="207010" cy="102362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7010" cy="1023620"/>
                  </a:xfrm>
                  <a:prstGeom prst="rect"/>
                  <a:ln/>
                </pic:spPr>
              </pic:pic>
            </a:graphicData>
          </a:graphic>
        </wp:anchor>
      </w:draw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0"/>
        <w:i w:val="0"/>
        <w:smallCaps w:val="0"/>
        <w:strike w:val="0"/>
        <w:color w:val="000000"/>
        <w:sz w:val="16"/>
        <w:szCs w:val="16"/>
        <w:u w:val="none"/>
        <w:shd w:fill="auto" w:val="clear"/>
        <w:vertAlign w:val="baseline"/>
        <w:rtl w:val="0"/>
      </w:rPr>
      <w:t xml:space="preserve">+389 78 350 531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hyperlink r:id="rId3">
      <w:r w:rsidDel="00000000" w:rsidR="00000000" w:rsidRPr="00000000">
        <w:rPr>
          <w:rFonts w:ascii="Open Sans" w:cs="Open Sans" w:eastAsia="Open Sans" w:hAnsi="Open Sans"/>
          <w:b w:val="0"/>
          <w:i w:val="0"/>
          <w:smallCaps w:val="0"/>
          <w:strike w:val="0"/>
          <w:color w:val="000000"/>
          <w:sz w:val="16"/>
          <w:szCs w:val="16"/>
          <w:u w:val="single"/>
          <w:shd w:fill="auto" w:val="clear"/>
          <w:vertAlign w:val="baseline"/>
          <w:rtl w:val="0"/>
        </w:rPr>
        <w:t xml:space="preserve">info@nms.org.mk</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Open Sans" w:cs="Open Sans" w:eastAsia="Open Sans" w:hAnsi="Open Sans"/>
        <w:b w:val="0"/>
        <w:i w:val="0"/>
        <w:smallCaps w:val="0"/>
        <w:strike w:val="0"/>
        <w:color w:val="000000"/>
        <w:sz w:val="16"/>
        <w:szCs w:val="16"/>
        <w:u w:val="none"/>
        <w:shd w:fill="auto" w:val="clear"/>
        <w:vertAlign w:val="baseline"/>
      </w:rPr>
    </w:pPr>
    <w:hyperlink r:id="rId4">
      <w:r w:rsidDel="00000000" w:rsidR="00000000" w:rsidRPr="00000000">
        <w:rPr>
          <w:rFonts w:ascii="Open Sans" w:cs="Open Sans" w:eastAsia="Open Sans" w:hAnsi="Open Sans"/>
          <w:b w:val="0"/>
          <w:i w:val="0"/>
          <w:smallCaps w:val="0"/>
          <w:strike w:val="0"/>
          <w:color w:val="000000"/>
          <w:sz w:val="16"/>
          <w:szCs w:val="16"/>
          <w:u w:val="single"/>
          <w:shd w:fill="auto" w:val="clear"/>
          <w:vertAlign w:val="baseline"/>
          <w:rtl w:val="0"/>
        </w:rPr>
        <w:t xml:space="preserve">/NMSMKD</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
      <w:r w:rsidDel="00000000" w:rsidR="00000000" w:rsidRPr="00000000">
        <w:rPr>
          <w:rFonts w:ascii="Open Sans" w:cs="Open Sans" w:eastAsia="Open Sans" w:hAnsi="Open Sans"/>
          <w:b w:val="0"/>
          <w:i w:val="0"/>
          <w:smallCaps w:val="0"/>
          <w:strike w:val="0"/>
          <w:color w:val="000000"/>
          <w:sz w:val="16"/>
          <w:szCs w:val="16"/>
          <w:u w:val="single"/>
          <w:shd w:fill="auto" w:val="clear"/>
          <w:vertAlign w:val="baseline"/>
          <w:rtl w:val="0"/>
        </w:rPr>
        <w:t xml:space="preserve">@NMSmkd</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k-M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610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55B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5BD3"/>
  </w:style>
  <w:style w:type="paragraph" w:styleId="Footer">
    <w:name w:val="footer"/>
    <w:basedOn w:val="Normal"/>
    <w:link w:val="FooterChar"/>
    <w:uiPriority w:val="99"/>
    <w:unhideWhenUsed w:val="1"/>
    <w:rsid w:val="00A55B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5BD3"/>
  </w:style>
  <w:style w:type="paragraph" w:styleId="NormalWeb">
    <w:name w:val="Normal (Web)"/>
    <w:basedOn w:val="Normal"/>
    <w:uiPriority w:val="99"/>
    <w:unhideWhenUsed w:val="1"/>
    <w:rsid w:val="00A55BD3"/>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55BD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hyperlink" Target="mailto:info@nms.org.mk" TargetMode="External"/><Relationship Id="rId4" Type="http://schemas.openxmlformats.org/officeDocument/2006/relationships/hyperlink" Target="https://www.facebook.com/NMSMKD" TargetMode="External"/><Relationship Id="rId5" Type="http://schemas.openxmlformats.org/officeDocument/2006/relationships/hyperlink" Target="https://twitter.com/nmsm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hFdSBWyJHEUtVqWz4Usrq1Gew==">AMUW2mWGhfdlSAbf+fWsv+d3cFGcpnlMZIk7x99Ev4XT59/Sj5rVk/wdZCFPxde7KboWKjV5inLMMyF0yroc8u/oKi8N4QomWG0AZ9OUP7wopcBqNyhQQmI=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2020-10-22T09:57:00Z</dcterms:created>
  <dc:creator>Agron</dc:creator>
</cp:coreProperties>
</file>